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color w:val="595959"/>
          <w:sz w:val="20"/>
          <w:szCs w:val="20"/>
          <w:highlight w:val="yellow"/>
        </w:rPr>
        <w:t xml:space="preserve">[CLIENT NAME]</w:t>
      </w:r>
    </w:p>
    <w:p>
      <w:pPr>
        <w:spacing w:after="60"/>
      </w:pPr>
      <w:r>
        <w:rPr>
          <w:b/>
          <w:bCs/>
          <w:color w:val="2E7D7A"/>
          <w:sz w:val="18"/>
          <w:szCs w:val="18"/>
        </w:rPr>
        <w:t xml:space="preserve">GUIDELINE  ·  Track A — AI Use Governance</w:t>
      </w:r>
    </w:p>
    <w:p>
      <w:pPr>
        <w:pStyle w:val="Title"/>
        <w:spacing w:after="80"/>
      </w:pPr>
      <w:r>
        <w:rPr>
          <w:b/>
          <w:bCs/>
          <w:color w:val="1F3A5F"/>
          <w:sz w:val="40"/>
          <w:szCs w:val="40"/>
        </w:rPr>
        <w:t xml:space="preserve">Safe AI Use Guide for Staff</w:t>
      </w:r>
    </w:p>
    <w:p>
      <w:pPr>
        <w:pBdr>
          <w:bottom w:val="single" w:color="1F3A5F" w:sz="8" w:space="6"/>
        </w:pBdr>
        <w:spacing w:after="200"/>
      </w:pPr>
      <w:r>
        <w:rPr>
          <w:color w:val="595959"/>
          <w:sz w:val="20"/>
          <w:szCs w:val="20"/>
        </w:rPr>
        <w:t xml:space="preserve">AGK-GDL-A01  ·  Template v1.0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038"/>
      </w:tblGrid>
      <w:tr>
        <w:trPr>
          <w:tblHeader/>
        </w:trPr>
        <w:tc>
          <w:tcPr>
            <w:tcW w:type="dxa" w:w="26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Field</w:t>
            </w:r>
          </w:p>
        </w:tc>
        <w:tc>
          <w:tcPr>
            <w:tcW w:type="dxa" w:w="7038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Value</w:t>
            </w:r>
          </w:p>
        </w:tc>
      </w:tr>
      <w:tr>
        <w:tc>
          <w:tcPr>
            <w:tcW w:type="dxa" w:w="26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Document ID</w:t>
            </w:r>
          </w:p>
        </w:tc>
        <w:tc>
          <w:tcPr>
            <w:tcW w:type="dxa" w:w="7038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AGK-GDL-A01</w:t>
            </w:r>
          </w:p>
        </w:tc>
      </w:tr>
      <w:tr>
        <w:tc>
          <w:tcPr>
            <w:tcW w:type="dxa" w:w="26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Document type</w:t>
            </w:r>
          </w:p>
        </w:tc>
        <w:tc>
          <w:tcPr>
            <w:tcW w:type="dxa" w:w="7038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Guideline (Recommended)</w:t>
            </w:r>
          </w:p>
        </w:tc>
      </w:tr>
      <w:tr>
        <w:tc>
          <w:tcPr>
            <w:tcW w:type="dxa" w:w="26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Template version</w:t>
            </w:r>
          </w:p>
        </w:tc>
        <w:tc>
          <w:tcPr>
            <w:tcW w:type="dxa" w:w="7038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AGK-GDL-A01 v1.0 (2026-10-31), kit release v1.0</w:t>
            </w:r>
          </w:p>
        </w:tc>
      </w:tr>
      <w:tr>
        <w:tc>
          <w:tcPr>
            <w:tcW w:type="dxa" w:w="26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Client version</w:t>
            </w:r>
          </w:p>
        </w:tc>
        <w:tc>
          <w:tcPr>
            <w:tcW w:type="dxa" w:w="7038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  <w:highlight w:val="yellow"/>
              </w:rPr>
              <w:t xml:space="preserve">[1.0]</w:t>
            </w:r>
          </w:p>
        </w:tc>
      </w:tr>
      <w:tr>
        <w:tc>
          <w:tcPr>
            <w:tcW w:type="dxa" w:w="26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Status</w:t>
            </w:r>
          </w:p>
        </w:tc>
        <w:tc>
          <w:tcPr>
            <w:tcW w:type="dxa" w:w="7038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  <w:highlight w:val="yellow"/>
              </w:rPr>
              <w:t xml:space="preserve">[Draft / Approved]</w:t>
            </w:r>
          </w:p>
        </w:tc>
      </w:tr>
      <w:tr>
        <w:tc>
          <w:tcPr>
            <w:tcW w:type="dxa" w:w="26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Owner</w:t>
            </w:r>
          </w:p>
        </w:tc>
        <w:tc>
          <w:tcPr>
            <w:tcW w:type="dxa" w:w="7038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  <w:highlight w:val="yellow"/>
              </w:rPr>
              <w:t xml:space="preserve">[AI Governance Lead]</w:t>
            </w:r>
          </w:p>
        </w:tc>
      </w:tr>
      <w:tr>
        <w:tc>
          <w:tcPr>
            <w:tcW w:type="dxa" w:w="26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Approved by</w:t>
            </w:r>
          </w:p>
        </w:tc>
        <w:tc>
          <w:tcPr>
            <w:tcW w:type="dxa" w:w="7038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  <w:highlight w:val="yellow"/>
              </w:rPr>
              <w:t xml:space="preserve">[AI Governance Lead]</w:t>
            </w:r>
          </w:p>
        </w:tc>
      </w:tr>
      <w:tr>
        <w:tc>
          <w:tcPr>
            <w:tcW w:type="dxa" w:w="26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Effective date</w:t>
            </w:r>
          </w:p>
        </w:tc>
        <w:tc>
          <w:tcPr>
            <w:tcW w:type="dxa" w:w="7038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  <w:highlight w:val="yellow"/>
              </w:rPr>
              <w:t xml:space="preserve">[DD Month YYYY]</w:t>
            </w:r>
          </w:p>
        </w:tc>
      </w:tr>
      <w:tr>
        <w:tc>
          <w:tcPr>
            <w:tcW w:type="dxa" w:w="26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Review cycle</w:t>
            </w:r>
          </w:p>
        </w:tc>
        <w:tc>
          <w:tcPr>
            <w:tcW w:type="dxa" w:w="7038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Annual</w:t>
            </w:r>
          </w:p>
        </w:tc>
      </w:tr>
      <w:tr>
        <w:tc>
          <w:tcPr>
            <w:tcW w:type="dxa" w:w="26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Parent document(s)</w:t>
            </w:r>
          </w:p>
        </w:tc>
        <w:tc>
          <w:tcPr>
            <w:tcW w:type="dxa" w:w="7038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AGK-POL-02, AGK-STD-A02</w:t>
            </w:r>
          </w:p>
        </w:tc>
      </w:tr>
      <w:tr>
        <w:tc>
          <w:tcPr>
            <w:tcW w:type="dxa" w:w="26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Adoption tier</w:t>
            </w:r>
          </w:p>
        </w:tc>
        <w:tc>
          <w:tcPr>
            <w:tcW w:type="dxa" w:w="7038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Lite: Required   ·   Standard: Required   ·   Regulated: Required</w:t>
            </w:r>
          </w:p>
        </w:tc>
      </w:tr>
      <w:tr>
        <w:tc>
          <w:tcPr>
            <w:tcW w:type="dxa" w:w="26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Classification</w:t>
            </w:r>
          </w:p>
        </w:tc>
        <w:tc>
          <w:tcPr>
            <w:tcW w:type="dxa" w:w="7038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  <w:highlight w:val="yellow"/>
              </w:rPr>
              <w:t xml:space="preserve">[Internal]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E0C060" w:sz="4"/>
              <w:left w:val="single" w:color="E0A800" w:sz="24"/>
              <w:bottom w:val="single" w:color="E0C060" w:sz="4"/>
              <w:right w:val="single" w:color="E0C060" w:sz="4"/>
            </w:tcBorders>
            <w:shd w:fill="FFF8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60"/>
            </w:pPr>
            <w:r>
              <w:rPr>
                <w:b/>
                <w:bCs/>
                <w:color w:val="7A5B00"/>
                <w:sz w:val="18"/>
                <w:szCs w:val="18"/>
              </w:rPr>
              <w:t xml:space="preserve">Template guidance — delete before issue</w:t>
            </w:r>
          </w:p>
          <w:p>
            <w:pPr>
              <w:spacing w:after="60"/>
            </w:pPr>
            <w:r>
              <w:rPr>
                <w:i/>
                <w:iCs/>
                <w:color w:val="4A4A4A"/>
                <w:sz w:val="18"/>
                <w:szCs w:val="18"/>
              </w:rPr>
              <w:t xml:space="preserve">Insert your approved tool names in the T1/T2 rows and your reporting contacts. Keep to two pages; publish on the intranet and in onboarding.</w:t>
            </w:r>
          </w:p>
          <w:p>
            <w:pPr>
              <w:spacing w:after="60"/>
            </w:pPr>
            <w:r>
              <w:rPr>
                <w:i/>
                <w:iCs/>
                <w:color w:val="4A4A4A"/>
                <w:sz w:val="18"/>
                <w:szCs w:val="18"/>
              </w:rPr>
              <w:t xml:space="preserve">A Bahasa Malaysia version is available as AGK-GDL-A01-BM. Keep both versions aligned when you change either.</w:t>
            </w:r>
          </w:p>
        </w:tc>
      </w:tr>
    </w:tbl>
    <w:p>
      <w:pPr>
        <w:spacing w:after="160"/>
      </w:pPr>
    </w:p>
    <w:p>
      <w:pPr>
        <w:pStyle w:val="Heading1"/>
      </w:pPr>
      <w:r>
        <w:t xml:space="preserve">1. Golden rules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dxa" w:w="4819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Do</w:t>
            </w:r>
          </w:p>
        </w:tc>
        <w:tc>
          <w:tcPr>
            <w:tcW w:type="dxa" w:w="4819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Don't</w:t>
            </w:r>
          </w:p>
        </w:tc>
      </w:tr>
      <w:tr>
        <w:tc>
          <w:tcPr>
            <w:tcW w:type="dxa" w:w="4819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Use only approved AI tools: </w:t>
            </w:r>
            <w:r>
              <w:rPr>
                <w:sz w:val="18"/>
                <w:szCs w:val="18"/>
                <w:highlight w:val="yellow"/>
              </w:rPr>
              <w:t xml:space="preserve">[list approved tools]</w:t>
            </w:r>
            <w:r>
              <w:rPr>
                <w:sz w:val="18"/>
                <w:szCs w:val="18"/>
              </w:rPr>
              <w:t xml:space="preserve">.</w:t>
            </w:r>
          </w:p>
        </w:tc>
        <w:tc>
          <w:tcPr>
            <w:tcW w:type="dxa" w:w="4819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Use personal or free AI accounts for work data.</w:t>
            </w:r>
          </w:p>
        </w:tc>
      </w:tr>
      <w:tr>
        <w:tc>
          <w:tcPr>
            <w:tcW w:type="dxa" w:w="4819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Sign in with your company account (SSO).</w:t>
            </w:r>
          </w:p>
        </w:tc>
        <w:tc>
          <w:tcPr>
            <w:tcW w:type="dxa" w:w="4819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Link personal email, storage or other accounts to company AI tools.</w:t>
            </w:r>
          </w:p>
        </w:tc>
      </w:tr>
      <w:tr>
        <w:tc>
          <w:tcPr>
            <w:tcW w:type="dxa" w:w="4819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Check the data label before you paste or upload.</w:t>
            </w:r>
          </w:p>
        </w:tc>
        <w:tc>
          <w:tcPr>
            <w:tcW w:type="dxa" w:w="4819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Paste passwords, API keys or tokens — ever.</w:t>
            </w:r>
          </w:p>
        </w:tc>
      </w:tr>
      <w:tr>
        <w:tc>
          <w:tcPr>
            <w:tcW w:type="dxa" w:w="4819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Remove names and personal details you don't need.</w:t>
            </w:r>
          </w:p>
        </w:tc>
        <w:tc>
          <w:tcPr>
            <w:tcW w:type="dxa" w:w="4819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Upload customer lists, payroll, health or ID data unless your use case is approved.</w:t>
            </w:r>
          </w:p>
        </w:tc>
      </w:tr>
      <w:tr>
        <w:tc>
          <w:tcPr>
            <w:tcW w:type="dxa" w:w="4819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Check AI answers for accuracy before you rely on or send them.</w:t>
            </w:r>
          </w:p>
        </w:tc>
        <w:tc>
          <w:tcPr>
            <w:tcW w:type="dxa" w:w="4819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Treat AI output as fact, or let it make decisions about people on its own.</w:t>
            </w:r>
          </w:p>
        </w:tc>
      </w:tr>
      <w:tr>
        <w:tc>
          <w:tcPr>
            <w:tcW w:type="dxa" w:w="4819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Say when content is AI-generated where required.</w:t>
            </w:r>
          </w:p>
        </w:tc>
        <w:tc>
          <w:tcPr>
            <w:tcW w:type="dxa" w:w="4819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Present AI output to clients as fully human-written where disclosure is required.</w:t>
            </w:r>
          </w:p>
        </w:tc>
      </w:tr>
      <w:tr>
        <w:tc>
          <w:tcPr>
            <w:tcW w:type="dxa" w:w="4819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Request new connectors or features through </w:t>
            </w:r>
            <w:r>
              <w:rPr>
                <w:sz w:val="18"/>
                <w:szCs w:val="18"/>
                <w:highlight w:val="yellow"/>
              </w:rPr>
              <w:t xml:space="preserve">[request channel]</w:t>
            </w:r>
            <w:r>
              <w:rPr>
                <w:sz w:val="18"/>
                <w:szCs w:val="18"/>
              </w:rPr>
              <w:t xml:space="preserve">.</w:t>
            </w:r>
          </w:p>
        </w:tc>
        <w:tc>
          <w:tcPr>
            <w:tcW w:type="dxa" w:w="4819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Install extensions, MCP servers or plugins yourself.</w:t>
            </w:r>
          </w:p>
        </w:tc>
      </w:tr>
      <w:tr>
        <w:tc>
          <w:tcPr>
            <w:tcW w:type="dxa" w:w="4819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Announce an AI note-taker and get everyone's agreement before it records.</w:t>
            </w:r>
          </w:p>
        </w:tc>
        <w:tc>
          <w:tcPr>
            <w:tcW w:type="dxa" w:w="4819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Record HR, legal or board meetings with AI, or let outside note-taker bots join your meetings.</w:t>
            </w:r>
          </w:p>
        </w:tc>
      </w:tr>
    </w:tbl>
    <w:p>
      <w:pPr>
        <w:spacing w:after="120"/>
      </w:pPr>
    </w:p>
    <w:p>
      <w:pPr>
        <w:pStyle w:val="Heading1"/>
      </w:pPr>
      <w:r>
        <w:t xml:space="preserve">2. Data quick reference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200"/>
        <w:gridCol w:w="2400"/>
        <w:gridCol w:w="2438"/>
      </w:tblGrid>
      <w:tr>
        <w:trPr>
          <w:tblHeader/>
        </w:trPr>
        <w:tc>
          <w:tcPr>
            <w:tcW w:type="dxa" w:w="26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Data</w:t>
            </w:r>
          </w:p>
        </w:tc>
        <w:tc>
          <w:tcPr>
            <w:tcW w:type="dxa" w:w="22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Personal / free AI</w:t>
            </w:r>
          </w:p>
        </w:tc>
        <w:tc>
          <w:tcPr>
            <w:tcW w:type="dxa" w:w="24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Approved AI </w:t>
            </w:r>
            <w:r>
              <w:rPr>
                <w:b/>
                <w:bCs/>
                <w:color w:val="FFFFFF"/>
                <w:sz w:val="18"/>
                <w:szCs w:val="18"/>
                <w:highlight w:val="yellow"/>
              </w:rPr>
              <w:t xml:space="preserve">[T1]</w:t>
            </w:r>
          </w:p>
        </w:tc>
        <w:tc>
          <w:tcPr>
            <w:tcW w:type="dxa" w:w="2438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Hardened AI </w:t>
            </w:r>
            <w:r>
              <w:rPr>
                <w:b/>
                <w:bCs/>
                <w:color w:val="FFFFFF"/>
                <w:sz w:val="18"/>
                <w:szCs w:val="18"/>
                <w:highlight w:val="yellow"/>
              </w:rPr>
              <w:t xml:space="preserve">[T2]</w:t>
            </w:r>
          </w:p>
        </w:tc>
      </w:tr>
      <w:tr>
        <w:tc>
          <w:tcPr>
            <w:tcW w:type="dxa" w:w="26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Public</w:t>
            </w:r>
          </w:p>
        </w:tc>
        <w:tc>
          <w:tcPr>
            <w:tcW w:type="dxa" w:w="22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Green — OK</w:t>
            </w:r>
          </w:p>
        </w:tc>
        <w:tc>
          <w:tcPr>
            <w:tcW w:type="dxa" w:w="24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Green — OK</w:t>
            </w:r>
          </w:p>
        </w:tc>
        <w:tc>
          <w:tcPr>
            <w:tcW w:type="dxa" w:w="2438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Green — OK</w:t>
            </w:r>
          </w:p>
        </w:tc>
      </w:tr>
      <w:tr>
        <w:tc>
          <w:tcPr>
            <w:tcW w:type="dxa" w:w="26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Internal</w:t>
            </w:r>
          </w:p>
        </w:tc>
        <w:tc>
          <w:tcPr>
            <w:tcW w:type="dxa" w:w="22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Red — No</w:t>
            </w:r>
          </w:p>
        </w:tc>
        <w:tc>
          <w:tcPr>
            <w:tcW w:type="dxa" w:w="24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Green — OK</w:t>
            </w:r>
          </w:p>
        </w:tc>
        <w:tc>
          <w:tcPr>
            <w:tcW w:type="dxa" w:w="2438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Green — OK</w:t>
            </w:r>
          </w:p>
        </w:tc>
      </w:tr>
      <w:tr>
        <w:tc>
          <w:tcPr>
            <w:tcW w:type="dxa" w:w="26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Confidential</w:t>
            </w:r>
          </w:p>
        </w:tc>
        <w:tc>
          <w:tcPr>
            <w:tcW w:type="dxa" w:w="22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Red — No</w:t>
            </w:r>
          </w:p>
        </w:tc>
        <w:tc>
          <w:tcPr>
            <w:tcW w:type="dxa" w:w="24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Green — OK for work need</w:t>
            </w:r>
          </w:p>
        </w:tc>
        <w:tc>
          <w:tcPr>
            <w:tcW w:type="dxa" w:w="2438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Green — OK</w:t>
            </w:r>
          </w:p>
        </w:tc>
      </w:tr>
      <w:tr>
        <w:tc>
          <w:tcPr>
            <w:tcW w:type="dxa" w:w="26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Restricted (personal data at scale, NRIC, health, client secrets)</w:t>
            </w:r>
          </w:p>
        </w:tc>
        <w:tc>
          <w:tcPr>
            <w:tcW w:type="dxa" w:w="22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Red — No</w:t>
            </w:r>
          </w:p>
        </w:tc>
        <w:tc>
          <w:tcPr>
            <w:tcW w:type="dxa" w:w="24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Red — No</w:t>
            </w:r>
          </w:p>
        </w:tc>
        <w:tc>
          <w:tcPr>
            <w:tcW w:type="dxa" w:w="2438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Amber — approved use cases only</w:t>
            </w:r>
          </w:p>
        </w:tc>
      </w:tr>
      <w:tr>
        <w:tc>
          <w:tcPr>
            <w:tcW w:type="dxa" w:w="26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Secrets (passwords, keys, tokens)</w:t>
            </w:r>
          </w:p>
        </w:tc>
        <w:tc>
          <w:tcPr>
            <w:tcW w:type="dxa" w:w="22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Red — No</w:t>
            </w:r>
          </w:p>
        </w:tc>
        <w:tc>
          <w:tcPr>
            <w:tcW w:type="dxa" w:w="24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Red — No</w:t>
            </w:r>
          </w:p>
        </w:tc>
        <w:tc>
          <w:tcPr>
            <w:tcW w:type="dxa" w:w="2438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Red — No</w:t>
            </w:r>
          </w:p>
        </w:tc>
      </w:tr>
    </w:tbl>
    <w:p>
      <w:pPr>
        <w:spacing w:after="120"/>
      </w:pPr>
    </w:p>
    <w:p>
      <w:pPr>
        <w:spacing w:after="120"/>
      </w:pPr>
      <w:r>
        <w:t xml:space="preserve">Not sure? Treat it as the higher label and ask </w:t>
      </w:r>
      <w:r>
        <w:rPr>
          <w:highlight w:val="yellow"/>
        </w:rPr>
        <w:t xml:space="preserve">[AI Governance Lead / data owner]</w:t>
      </w:r>
      <w:r>
        <w:t xml:space="preserve">.</w:t>
      </w:r>
    </w:p>
    <w:p>
      <w:pPr>
        <w:pStyle w:val="Heading1"/>
      </w:pPr>
      <w:r>
        <w:t xml:space="preserve">3. Connectors and browser agents — quick rules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Use only connectors already approved by </w:t>
      </w:r>
      <w:r>
        <w:rPr>
          <w:highlight w:val="yellow"/>
        </w:rPr>
        <w:t xml:space="preserve">[CLIENT NAME]</w:t>
      </w:r>
      <w:r>
        <w:t xml:space="preserve">. Ask before connecting anything new.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Read the confirmation before approving any action the AI wants to take (send, delete, submit, buy). If in doubt, decline.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Prefer a connector over letting an AI drive your browser.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Browser/computer agents: stay with it while it works; never let it enter passwords, make payments, accept terms or touch banking, HR or admin sites.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If the AI starts doing something you didn't ask for — stop it and report it. It may be following hidden instructions in a web page or document.</w:t>
      </w:r>
    </w:p>
    <w:p>
      <w:pPr>
        <w:pStyle w:val="Heading1"/>
      </w:pPr>
      <w:r>
        <w:t xml:space="preserve">4. AI note-takers — quick tips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Use only the note-taker approved by </w:t>
      </w:r>
      <w:r>
        <w:rPr>
          <w:highlight w:val="yellow"/>
        </w:rPr>
        <w:t xml:space="preserve">[CLIENT NAME]</w:t>
      </w:r>
      <w:r>
        <w:t xml:space="preserve">: </w:t>
      </w:r>
      <w:r>
        <w:rPr>
          <w:highlight w:val="yellow"/>
        </w:rPr>
        <w:t xml:space="preserve">[approved note-taker tool]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Say at the start: "This meeting will be transcribed by AI — any objections?" Tell external guests in the invitation. If anyone objects, switch it off.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Do not use AI note-takers for HR, legal, board or other Restricted meetings unless approved in advance.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Read the AI summary and fix errors before you send it — you are accountable for what it says.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Remove any unknown note-taker bot that joins your meeting.</w:t>
      </w:r>
    </w:p>
    <w:p>
      <w:pPr>
        <w:pStyle w:val="Heading1"/>
      </w:pPr>
      <w:r>
        <w:t xml:space="preserve">5. How to report a problem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Shared something you shouldn't have, or an AI took an unexpected action? Report it </w:t>
      </w:r>
      <w:r>
        <w:rPr>
          <w:b/>
          <w:bCs/>
        </w:rPr>
        <w:t xml:space="preserve">immediately</w:t>
      </w:r>
      <w:r>
        <w:t xml:space="preserve"> to </w:t>
      </w:r>
      <w:r>
        <w:rPr>
          <w:highlight w:val="yellow"/>
        </w:rPr>
        <w:t xml:space="preserve">[IT Service Desk contact / email / phone]</w:t>
      </w:r>
      <w:r>
        <w:t xml:space="preserve">. Fast reporting limits harm — you will not be penalised for honest mistakes reported promptly.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Pasted a password or key? Report it and change it straight away.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Questions about AI use: </w:t>
      </w:r>
      <w:r>
        <w:rPr>
          <w:highlight w:val="yellow"/>
        </w:rPr>
        <w:t xml:space="preserve">[AI Governance Lead contact / channel]</w:t>
      </w:r>
      <w:r>
        <w:t xml:space="preserve">.</w:t>
      </w:r>
    </w:p>
    <w:p>
      <w:pPr>
        <w:pStyle w:val="Heading1"/>
      </w:pPr>
      <w:r>
        <w:t xml:space="preserve">6. Related documents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00"/>
        <w:gridCol w:w="5838"/>
      </w:tblGrid>
      <w:tr>
        <w:trPr>
          <w:tblHeader/>
        </w:trPr>
        <w:tc>
          <w:tcPr>
            <w:tcW w:type="dxa" w:w="38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Document</w:t>
            </w:r>
          </w:p>
        </w:tc>
        <w:tc>
          <w:tcPr>
            <w:tcW w:type="dxa" w:w="5838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Relationship</w:t>
            </w:r>
          </w:p>
        </w:tc>
      </w:tr>
      <w:tr>
        <w:tc>
          <w:tcPr>
            <w:tcW w:type="dxa" w:w="38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AGK-POL-02 AI Acceptable Use Policy</w:t>
            </w:r>
          </w:p>
        </w:tc>
        <w:tc>
          <w:tcPr>
            <w:tcW w:type="dxa" w:w="5838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The binding rules this guide summarises</w:t>
            </w:r>
          </w:p>
        </w:tc>
      </w:tr>
      <w:tr>
        <w:tc>
          <w:tcPr>
            <w:tcW w:type="dxa" w:w="38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AGK-STD-A02 AI Data Handling Standard</w:t>
            </w:r>
          </w:p>
        </w:tc>
        <w:tc>
          <w:tcPr>
            <w:tcW w:type="dxa" w:w="5838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Full data matrix; meeting assistant rules (C21–C26)</w:t>
            </w:r>
          </w:p>
        </w:tc>
      </w:tr>
      <w:tr>
        <w:tc>
          <w:tcPr>
            <w:tcW w:type="dxa" w:w="38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AGK-TPL-07 AI Acceptable Use Acknowledgement</w:t>
            </w:r>
          </w:p>
        </w:tc>
        <w:tc>
          <w:tcPr>
            <w:tcW w:type="dxa" w:w="5838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Staff attestation</w:t>
            </w:r>
          </w:p>
        </w:tc>
      </w:tr>
      <w:tr>
        <w:tc>
          <w:tcPr>
            <w:tcW w:type="dxa" w:w="38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AGK-GDL-A01-BM Panduan Penggunaan AI Secara Selamat untuk Kakitangan</w:t>
            </w:r>
          </w:p>
        </w:tc>
        <w:tc>
          <w:tcPr>
            <w:tcW w:type="dxa" w:w="5838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Bahasa Malaysia version</w:t>
            </w:r>
          </w:p>
        </w:tc>
      </w:tr>
    </w:tbl>
    <w:p>
      <w:pPr>
        <w:spacing w:after="120"/>
      </w:pPr>
    </w:p>
    <w:p>
      <w:pPr>
        <w:pStyle w:val="Heading1"/>
      </w:pPr>
      <w:r>
        <w:t xml:space="preserve">7. Framework alignment</w:t>
      </w:r>
    </w:p>
    <w:p>
      <w:pPr>
        <w:spacing w:after="120"/>
      </w:pPr>
      <w:r>
        <w:t xml:space="preserve">This document supports the following external frameworks and regulations. References are indicative; confirm against the current text before relying on them for compliance claims.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6238"/>
      </w:tblGrid>
      <w:tr>
        <w:trPr>
          <w:tblHeader/>
        </w:trPr>
        <w:tc>
          <w:tcPr>
            <w:tcW w:type="dxa" w:w="34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Framework / regulation</w:t>
            </w:r>
          </w:p>
        </w:tc>
        <w:tc>
          <w:tcPr>
            <w:tcW w:type="dxa" w:w="6238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Reference</w:t>
            </w:r>
          </w:p>
        </w:tc>
      </w:tr>
      <w:tr>
        <w:tc>
          <w:tcPr>
            <w:tcW w:type="dxa" w:w="34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ISO/IEC 42001:2023</w:t>
            </w:r>
          </w:p>
        </w:tc>
        <w:tc>
          <w:tcPr>
            <w:tcW w:type="dxa" w:w="6238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A.9 use of AI systems; clause 7.3 awareness</w:t>
            </w:r>
          </w:p>
        </w:tc>
      </w:tr>
      <w:tr>
        <w:tc>
          <w:tcPr>
            <w:tcW w:type="dxa" w:w="34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EU AI Act</w:t>
            </w:r>
          </w:p>
        </w:tc>
        <w:tc>
          <w:tcPr>
            <w:tcW w:type="dxa" w:w="6238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Art. 4 AI literacy</w:t>
            </w:r>
          </w:p>
        </w:tc>
      </w:tr>
      <w:tr>
        <w:tc>
          <w:tcPr>
            <w:tcW w:type="dxa" w:w="34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Malaysia AIGE (2024)</w:t>
            </w:r>
          </w:p>
        </w:tc>
        <w:tc>
          <w:tcPr>
            <w:tcW w:type="dxa" w:w="6238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Principles of safety, privacy and accountability</w:t>
            </w:r>
          </w:p>
        </w:tc>
      </w:tr>
    </w:tbl>
    <w:p>
      <w:pPr>
        <w:spacing w:after="120"/>
      </w:pPr>
    </w:p>
    <w:p>
      <w:pPr>
        <w:pStyle w:val="Heading1"/>
      </w:pPr>
      <w:r>
        <w:t xml:space="preserve">8. Template version history</w:t>
      </w:r>
    </w:p>
    <w:p>
      <w:pPr>
        <w:spacing w:after="120"/>
      </w:pPr>
      <w:r>
        <w:t xml:space="preserve">Changes to this template made by Anchor Sprint. Keep this table when you adopt the document, so you can compare future template updates with the version you adopted.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500"/>
        <w:gridCol w:w="6638"/>
      </w:tblGrid>
      <w:tr>
        <w:trPr>
          <w:tblHeader/>
        </w:trPr>
        <w:tc>
          <w:tcPr>
            <w:tcW w:type="dxa" w:w="15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Template version</w:t>
            </w:r>
          </w:p>
        </w:tc>
        <w:tc>
          <w:tcPr>
            <w:tcW w:type="dxa" w:w="15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dxa" w:w="6638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Changes</w:t>
            </w:r>
          </w:p>
        </w:tc>
      </w:tr>
      <w:tr>
        <w:tc>
          <w:tcPr>
            <w:tcW w:type="dxa" w:w="15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1.0</w:t>
            </w:r>
          </w:p>
        </w:tc>
        <w:tc>
          <w:tcPr>
            <w:tcW w:type="dxa" w:w="15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2026-10-31</w:t>
            </w:r>
          </w:p>
        </w:tc>
        <w:tc>
          <w:tcPr>
            <w:tcW w:type="dxa" w:w="6638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Initial release</w:t>
            </w:r>
          </w:p>
        </w:tc>
      </w:tr>
    </w:tbl>
    <w:p>
      <w:pPr>
        <w:spacing w:after="120"/>
      </w:pPr>
    </w:p>
    <w:p>
      <w:pPr>
        <w:pStyle w:val="Heading1"/>
      </w:pPr>
      <w:r>
        <w:t xml:space="preserve">9. Approval and client revision history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800"/>
        <w:gridCol w:w="2300"/>
        <w:gridCol w:w="1938"/>
      </w:tblGrid>
      <w:tr>
        <w:trPr>
          <w:tblHeader/>
        </w:trPr>
        <w:tc>
          <w:tcPr>
            <w:tcW w:type="dxa" w:w="26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Role</w:t>
            </w:r>
          </w:p>
        </w:tc>
        <w:tc>
          <w:tcPr>
            <w:tcW w:type="dxa" w:w="28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Name</w:t>
            </w:r>
          </w:p>
        </w:tc>
        <w:tc>
          <w:tcPr>
            <w:tcW w:type="dxa" w:w="23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Signature</w:t>
            </w:r>
          </w:p>
        </w:tc>
        <w:tc>
          <w:tcPr>
            <w:tcW w:type="dxa" w:w="1938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</w:tr>
      <w:tr>
        <w:tc>
          <w:tcPr>
            <w:tcW w:type="dxa" w:w="26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Document owner</w:t>
            </w:r>
          </w:p>
        </w:tc>
        <w:tc>
          <w:tcPr>
            <w:tcW w:type="dxa" w:w="28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  <w:highlight w:val="yellow"/>
              </w:rPr>
              <w:t xml:space="preserve">[Name]</w:t>
            </w:r>
          </w:p>
        </w:tc>
        <w:tc>
          <w:tcPr>
            <w:tcW w:type="dxa" w:w="23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938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  <w:highlight w:val="yellow"/>
              </w:rPr>
              <w:t xml:space="preserve">[Date]</w:t>
            </w:r>
          </w:p>
        </w:tc>
      </w:tr>
      <w:tr>
        <w:tc>
          <w:tcPr>
            <w:tcW w:type="dxa" w:w="26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Approver</w:t>
            </w:r>
          </w:p>
        </w:tc>
        <w:tc>
          <w:tcPr>
            <w:tcW w:type="dxa" w:w="28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  <w:highlight w:val="yellow"/>
              </w:rPr>
              <w:t xml:space="preserve">[Name]</w:t>
            </w:r>
          </w:p>
        </w:tc>
        <w:tc>
          <w:tcPr>
            <w:tcW w:type="dxa" w:w="23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938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  <w:highlight w:val="yellow"/>
              </w:rPr>
              <w:t xml:space="preserve">[Date]</w:t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1600"/>
        <w:gridCol w:w="2200"/>
        <w:gridCol w:w="4738"/>
      </w:tblGrid>
      <w:tr>
        <w:trPr>
          <w:tblHeader/>
        </w:trPr>
        <w:tc>
          <w:tcPr>
            <w:tcW w:type="dxa" w:w="11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Version</w:t>
            </w:r>
          </w:p>
        </w:tc>
        <w:tc>
          <w:tcPr>
            <w:tcW w:type="dxa" w:w="16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dxa" w:w="22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Author</w:t>
            </w:r>
          </w:p>
        </w:tc>
        <w:tc>
          <w:tcPr>
            <w:tcW w:type="dxa" w:w="4738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Summary of changes</w:t>
            </w:r>
          </w:p>
        </w:tc>
      </w:tr>
      <w:tr>
        <w:tc>
          <w:tcPr>
            <w:tcW w:type="dxa" w:w="11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0.1</w:t>
            </w:r>
          </w:p>
        </w:tc>
        <w:tc>
          <w:tcPr>
            <w:tcW w:type="dxa" w:w="16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  <w:highlight w:val="yellow"/>
              </w:rPr>
              <w:t xml:space="preserve">[Date]</w:t>
            </w:r>
          </w:p>
        </w:tc>
        <w:tc>
          <w:tcPr>
            <w:tcW w:type="dxa" w:w="22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  <w:highlight w:val="yellow"/>
              </w:rPr>
              <w:t xml:space="preserve">[Name]</w:t>
            </w:r>
          </w:p>
        </w:tc>
        <w:tc>
          <w:tcPr>
            <w:tcW w:type="dxa" w:w="4738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Adopted from AGK template AGK-GDL-A01 v1.0</w:t>
            </w:r>
          </w:p>
        </w:tc>
      </w:tr>
      <w:tr>
        <w:tc>
          <w:tcPr>
            <w:tcW w:type="dxa" w:w="11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1.0</w:t>
            </w:r>
          </w:p>
        </w:tc>
        <w:tc>
          <w:tcPr>
            <w:tcW w:type="dxa" w:w="16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  <w:highlight w:val="yellow"/>
              </w:rPr>
              <w:t xml:space="preserve">[Date]</w:t>
            </w:r>
          </w:p>
        </w:tc>
        <w:tc>
          <w:tcPr>
            <w:tcW w:type="dxa" w:w="2200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  <w:highlight w:val="yellow"/>
              </w:rPr>
              <w:t xml:space="preserve">[Name]</w:t>
            </w:r>
          </w:p>
        </w:tc>
        <w:tc>
          <w:tcPr>
            <w:tcW w:type="dxa" w:w="4738"/>
            <w:tcBorders>
              <w:top w:val="single" w:color="BFC7D1" w:sz="4"/>
              <w:left w:val="single" w:color="BFC7D1" w:sz="4"/>
              <w:bottom w:val="single" w:color="BFC7D1" w:sz="4"/>
              <w:right w:val="single" w:color="BFC7D1" w:sz="4"/>
            </w:tcBorders>
            <w:shd w:fill="F7F9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Approved for issue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color w:val="595959"/>
        <w:sz w:val="14"/>
        <w:szCs w:val="14"/>
      </w:rPr>
      <w:t xml:space="preserve">Classification: Internal  ·  Based on AGK template AGK-GDL-A01 v1.0 (kit v1.0)</w:t>
    </w:r>
    <w:r>
      <w:rPr>
        <w:color w:val="595959"/>
        <w:sz w:val="14"/>
        <w:szCs w:val="14"/>
      </w:rP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595959"/>
        <w:sz w:val="16"/>
        <w:szCs w:val="16"/>
        <w:highlight w:val="yellow"/>
      </w:rPr>
      <w:t xml:space="preserve">[CLIENT NAME]</w:t>
    </w:r>
    <w:r>
      <w:rPr>
        <w:color w:val="595959"/>
        <w:sz w:val="16"/>
        <w:szCs w:val="16"/>
      </w:rPr>
      <w:t xml:space="preserve">  |  AGK-GDL-A01  Safe AI Use Guide for Staff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40" w:before="300"/>
      <w:outlineLvl w:val="0"/>
    </w:pPr>
    <w:rPr>
      <w:rFonts w:ascii="Calibri" w:cs="Calibri" w:eastAsia="Calibri" w:hAnsi="Calibri"/>
      <w:b/>
      <w:bCs/>
      <w:color w:val="1F3A5F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200"/>
      <w:outlineLvl w:val="1"/>
    </w:pPr>
    <w:rPr>
      <w:rFonts w:ascii="Calibri" w:cs="Calibri" w:eastAsia="Calibri" w:hAnsi="Calibri"/>
      <w:b/>
      <w:bCs/>
      <w:color w:val="2E7D7A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spacing w:after="80" w:before="160"/>
      <w:outlineLvl w:val="2"/>
    </w:pPr>
    <w:rPr>
      <w:rFonts w:ascii="Calibri" w:cs="Calibri" w:eastAsia="Calibri" w:hAnsi="Calibri"/>
      <w:b/>
      <w:bCs/>
      <w:color w:val="595959"/>
      <w:sz w:val="22"/>
      <w:szCs w:val="2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AGK-GDL-A01 Safe AI Use Guide for Staff</dc:title>
  <dc:subject>AGK-GDL-A01 v1.0</dc:subject>
  <dc:creator>Anchor Sprint Sdn Bhd</dc:creator>
  <cp:keywords>AGK; AGK-GDL-A01; template v1.0; kit v1.0</cp:keywords>
  <dc:description>Anchor Sprint AI Governance Kit (AGK) v1.0 · AGK-GDL-A01 template v1.0</dc:description>
  <cp:lastModifiedBy>Un-named</cp:lastModifiedBy>
  <cp:revision>1</cp:revision>
  <dcterms:created xsi:type="dcterms:W3CDTF">2026-10-31T15:58:11.373Z</dcterms:created>
  <dcterms:modified xsi:type="dcterms:W3CDTF">2026-10-31T15:58:11.373Z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