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color w:val="595959"/>
          <w:sz w:val="20"/>
          <w:szCs w:val="20"/>
          <w:highlight w:val="yellow"/>
        </w:rPr>
        <w:t xml:space="preserve">[CLIENT NAME]</w:t>
      </w:r>
    </w:p>
    <w:p>
      <w:pPr>
        <w:spacing w:after="60"/>
      </w:pPr>
      <w:r>
        <w:rPr>
          <w:b/>
          <w:bCs/>
          <w:color w:val="2E7D7A"/>
          <w:sz w:val="18"/>
          <w:szCs w:val="18"/>
        </w:rPr>
        <w:t xml:space="preserve">GUIDELINE  ·  Track A — AI Use Governance</w:t>
      </w:r>
    </w:p>
    <w:p>
      <w:pPr>
        <w:pStyle w:val="Title"/>
        <w:spacing w:after="80"/>
      </w:pPr>
      <w:r>
        <w:rPr>
          <w:b/>
          <w:bCs/>
          <w:color w:val="1F3A5F"/>
          <w:sz w:val="40"/>
          <w:szCs w:val="40"/>
        </w:rPr>
        <w:t xml:space="preserve">Panduan Penggunaan AI Secara Selamat untuk Kakitangan</w:t>
      </w:r>
    </w:p>
    <w:p>
      <w:pPr>
        <w:pBdr>
          <w:bottom w:val="single" w:color="1F3A5F" w:sz="8" w:space="6"/>
        </w:pBdr>
        <w:spacing w:after="200"/>
      </w:pPr>
      <w:r>
        <w:rPr>
          <w:color w:val="595959"/>
          <w:sz w:val="20"/>
          <w:szCs w:val="20"/>
        </w:rPr>
        <w:t xml:space="preserve">AGK-GDL-A01-BM  ·  Template v1.0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7038"/>
      </w:tblGrid>
      <w:tr>
        <w:trPr>
          <w:tblHeader/>
        </w:trPr>
        <w:tc>
          <w:tcPr>
            <w:tcW w:type="dxa" w:w="2600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shd w:fill="1F3A5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Field</w:t>
            </w:r>
          </w:p>
        </w:tc>
        <w:tc>
          <w:tcPr>
            <w:tcW w:type="dxa" w:w="7038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shd w:fill="1F3A5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Value</w:t>
            </w:r>
          </w:p>
        </w:tc>
      </w:tr>
      <w:tr>
        <w:tc>
          <w:tcPr>
            <w:tcW w:type="dxa" w:w="2600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Document ID</w:t>
            </w:r>
          </w:p>
        </w:tc>
        <w:tc>
          <w:tcPr>
            <w:tcW w:type="dxa" w:w="7038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AGK-GDL-A01-BM</w:t>
            </w:r>
          </w:p>
        </w:tc>
      </w:tr>
      <w:tr>
        <w:tc>
          <w:tcPr>
            <w:tcW w:type="dxa" w:w="2600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shd w:fill="F7F9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Document type</w:t>
            </w:r>
          </w:p>
        </w:tc>
        <w:tc>
          <w:tcPr>
            <w:tcW w:type="dxa" w:w="7038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shd w:fill="F7F9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Guideline (Recommended)</w:t>
            </w:r>
          </w:p>
        </w:tc>
      </w:tr>
      <w:tr>
        <w:tc>
          <w:tcPr>
            <w:tcW w:type="dxa" w:w="2600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Template version</w:t>
            </w:r>
          </w:p>
        </w:tc>
        <w:tc>
          <w:tcPr>
            <w:tcW w:type="dxa" w:w="7038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AGK-GDL-A01-BM v1.0 (2026-10-31), kit release v1.0</w:t>
            </w:r>
          </w:p>
        </w:tc>
      </w:tr>
      <w:tr>
        <w:tc>
          <w:tcPr>
            <w:tcW w:type="dxa" w:w="2600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shd w:fill="F7F9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Client version</w:t>
            </w:r>
          </w:p>
        </w:tc>
        <w:tc>
          <w:tcPr>
            <w:tcW w:type="dxa" w:w="7038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shd w:fill="F7F9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  <w:highlight w:val="yellow"/>
              </w:rPr>
              <w:t xml:space="preserve">[1.0]</w:t>
            </w:r>
          </w:p>
        </w:tc>
      </w:tr>
      <w:tr>
        <w:tc>
          <w:tcPr>
            <w:tcW w:type="dxa" w:w="2600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Status</w:t>
            </w:r>
          </w:p>
        </w:tc>
        <w:tc>
          <w:tcPr>
            <w:tcW w:type="dxa" w:w="7038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  <w:highlight w:val="yellow"/>
              </w:rPr>
              <w:t xml:space="preserve">[Draft / Approved]</w:t>
            </w:r>
          </w:p>
        </w:tc>
      </w:tr>
      <w:tr>
        <w:tc>
          <w:tcPr>
            <w:tcW w:type="dxa" w:w="2600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shd w:fill="F7F9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Owner</w:t>
            </w:r>
          </w:p>
        </w:tc>
        <w:tc>
          <w:tcPr>
            <w:tcW w:type="dxa" w:w="7038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shd w:fill="F7F9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  <w:highlight w:val="yellow"/>
              </w:rPr>
              <w:t xml:space="preserve">[Ketua Tadbir Urus AI]</w:t>
            </w:r>
          </w:p>
        </w:tc>
      </w:tr>
      <w:tr>
        <w:tc>
          <w:tcPr>
            <w:tcW w:type="dxa" w:w="2600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Approved by</w:t>
            </w:r>
          </w:p>
        </w:tc>
        <w:tc>
          <w:tcPr>
            <w:tcW w:type="dxa" w:w="7038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  <w:highlight w:val="yellow"/>
              </w:rPr>
              <w:t xml:space="preserve">[Ketua Tadbir Urus AI]</w:t>
            </w:r>
          </w:p>
        </w:tc>
      </w:tr>
      <w:tr>
        <w:tc>
          <w:tcPr>
            <w:tcW w:type="dxa" w:w="2600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shd w:fill="F7F9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Effective date</w:t>
            </w:r>
          </w:p>
        </w:tc>
        <w:tc>
          <w:tcPr>
            <w:tcW w:type="dxa" w:w="7038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shd w:fill="F7F9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  <w:highlight w:val="yellow"/>
              </w:rPr>
              <w:t xml:space="preserve">[DD Month YYYY]</w:t>
            </w:r>
          </w:p>
        </w:tc>
      </w:tr>
      <w:tr>
        <w:tc>
          <w:tcPr>
            <w:tcW w:type="dxa" w:w="2600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Review cycle</w:t>
            </w:r>
          </w:p>
        </w:tc>
        <w:tc>
          <w:tcPr>
            <w:tcW w:type="dxa" w:w="7038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Tahunan</w:t>
            </w:r>
          </w:p>
        </w:tc>
      </w:tr>
      <w:tr>
        <w:tc>
          <w:tcPr>
            <w:tcW w:type="dxa" w:w="2600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shd w:fill="F7F9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Parent document(s)</w:t>
            </w:r>
          </w:p>
        </w:tc>
        <w:tc>
          <w:tcPr>
            <w:tcW w:type="dxa" w:w="7038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shd w:fill="F7F9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AGK-POL-02, AGK-STD-A02, AGK-GDL-A01</w:t>
            </w:r>
          </w:p>
        </w:tc>
      </w:tr>
      <w:tr>
        <w:tc>
          <w:tcPr>
            <w:tcW w:type="dxa" w:w="2600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Adoption tier</w:t>
            </w:r>
          </w:p>
        </w:tc>
        <w:tc>
          <w:tcPr>
            <w:tcW w:type="dxa" w:w="7038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Lite: Required   ·   Standard: Required   ·   Regulated: Required</w:t>
            </w:r>
          </w:p>
        </w:tc>
      </w:tr>
      <w:tr>
        <w:tc>
          <w:tcPr>
            <w:tcW w:type="dxa" w:w="2600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shd w:fill="F7F9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Classification</w:t>
            </w:r>
          </w:p>
        </w:tc>
        <w:tc>
          <w:tcPr>
            <w:tcW w:type="dxa" w:w="7038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shd w:fill="F7F9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  <w:highlight w:val="yellow"/>
              </w:rPr>
              <w:t xml:space="preserve">[Internal]</w:t>
            </w:r>
          </w:p>
        </w:tc>
      </w:tr>
    </w:tbl>
    <w:p>
      <w:pPr>
        <w:spacing w:after="16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E0C060" w:sz="4"/>
              <w:left w:val="single" w:color="E0A800" w:sz="24"/>
              <w:bottom w:val="single" w:color="E0C060" w:sz="4"/>
              <w:right w:val="single" w:color="E0C060" w:sz="4"/>
            </w:tcBorders>
            <w:shd w:fill="FFF8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60"/>
            </w:pPr>
            <w:r>
              <w:rPr>
                <w:b/>
                <w:bCs/>
                <w:color w:val="7A5B00"/>
                <w:sz w:val="18"/>
                <w:szCs w:val="18"/>
              </w:rPr>
              <w:t xml:space="preserve">Template guidance — delete before issue</w:t>
            </w:r>
          </w:p>
          <w:p>
            <w:pPr>
              <w:spacing w:after="60"/>
            </w:pPr>
            <w:r>
              <w:rPr>
                <w:i/>
                <w:iCs/>
                <w:color w:val="4A4A4A"/>
                <w:sz w:val="18"/>
                <w:szCs w:val="18"/>
              </w:rPr>
              <w:t xml:space="preserve">Terjemahan Bahasa Malaysia bagi AGK-GDL-A01. Jika terdapat percanggahan, versi Bahasa Inggeris diguna pakai.</w:t>
            </w:r>
          </w:p>
          <w:p>
            <w:pPr>
              <w:spacing w:after="60"/>
            </w:pPr>
            <w:r>
              <w:rPr>
                <w:i/>
                <w:iCs/>
                <w:color w:val="4A4A4A"/>
                <w:sz w:val="18"/>
                <w:szCs w:val="18"/>
              </w:rPr>
              <w:t xml:space="preserve">Masukkan nama alat AI yang diluluskan dalam baris T1/T2 dan butiran hubungan untuk membuat laporan. Hadkan kepada dua muka surat; terbitkan di intranet dan dalam program orientasi.</w:t>
            </w:r>
          </w:p>
          <w:p>
            <w:pPr>
              <w:spacing w:after="60"/>
            </w:pPr>
            <w:r>
              <w:rPr>
                <w:i/>
                <w:iCs/>
                <w:color w:val="4A4A4A"/>
                <w:sz w:val="18"/>
                <w:szCs w:val="18"/>
              </w:rPr>
              <w:t xml:space="preserve">Pastikan versi ini sentiasa selaras dengan versi Bahasa Inggeris apabila salah satu daripadanya dipinda.</w:t>
            </w:r>
          </w:p>
        </w:tc>
      </w:tr>
    </w:tbl>
    <w:p>
      <w:pPr>
        <w:spacing w:after="160"/>
      </w:pPr>
    </w:p>
    <w:p>
      <w:pPr>
        <w:pStyle w:val="Heading1"/>
      </w:pPr>
      <w:r>
        <w:t xml:space="preserve">1. Peraturan utama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dxa" w:w="4819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shd w:fill="1F3A5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Lakukan</w:t>
            </w:r>
          </w:p>
        </w:tc>
        <w:tc>
          <w:tcPr>
            <w:tcW w:type="dxa" w:w="4819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shd w:fill="1F3A5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Jangan lakukan</w:t>
            </w:r>
          </w:p>
        </w:tc>
      </w:tr>
      <w:tr>
        <w:tc>
          <w:tcPr>
            <w:tcW w:type="dxa" w:w="4819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Gunakan alat AI yang diluluskan sahaja: </w:t>
            </w:r>
            <w:r>
              <w:rPr>
                <w:sz w:val="18"/>
                <w:szCs w:val="18"/>
                <w:highlight w:val="yellow"/>
              </w:rPr>
              <w:t xml:space="preserve">[senarai alat yang diluluskan]</w:t>
            </w:r>
            <w:r>
              <w:rPr>
                <w:sz w:val="18"/>
                <w:szCs w:val="18"/>
              </w:rPr>
              <w:t xml:space="preserve">.</w:t>
            </w:r>
          </w:p>
        </w:tc>
        <w:tc>
          <w:tcPr>
            <w:tcW w:type="dxa" w:w="4819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Gunakan akaun AI peribadi atau percuma untuk data kerja.</w:t>
            </w:r>
          </w:p>
        </w:tc>
      </w:tr>
      <w:tr>
        <w:tc>
          <w:tcPr>
            <w:tcW w:type="dxa" w:w="4819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shd w:fill="F7F9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Log masuk dengan akaun syarikat anda (SSO).</w:t>
            </w:r>
          </w:p>
        </w:tc>
        <w:tc>
          <w:tcPr>
            <w:tcW w:type="dxa" w:w="4819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shd w:fill="F7F9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Hubungkan e-mel, storan atau akaun peribadi lain kepada alat AI syarikat.</w:t>
            </w:r>
          </w:p>
        </w:tc>
      </w:tr>
      <w:tr>
        <w:tc>
          <w:tcPr>
            <w:tcW w:type="dxa" w:w="4819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Semak label data sebelum menampal atau memuat naik.</w:t>
            </w:r>
          </w:p>
        </w:tc>
        <w:tc>
          <w:tcPr>
            <w:tcW w:type="dxa" w:w="4819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Menampal kata laluan, kunci API atau token — dalam apa jua keadaan.</w:t>
            </w:r>
          </w:p>
        </w:tc>
      </w:tr>
      <w:tr>
        <w:tc>
          <w:tcPr>
            <w:tcW w:type="dxa" w:w="4819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shd w:fill="F7F9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Buang nama dan butiran peribadi yang tidak diperlukan.</w:t>
            </w:r>
          </w:p>
        </w:tc>
        <w:tc>
          <w:tcPr>
            <w:tcW w:type="dxa" w:w="4819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shd w:fill="F7F9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Memuat naik senarai pelanggan, data gaji, kesihatan atau pengenalan diri kecuali kes penggunaan anda telah diluluskan.</w:t>
            </w:r>
          </w:p>
        </w:tc>
      </w:tr>
      <w:tr>
        <w:tc>
          <w:tcPr>
            <w:tcW w:type="dxa" w:w="4819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Semak ketepatan jawapan AI sebelum anda bergantung padanya atau menghantarnya.</w:t>
            </w:r>
          </w:p>
        </w:tc>
        <w:tc>
          <w:tcPr>
            <w:tcW w:type="dxa" w:w="4819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Menganggap hasil AI sebagai fakta, atau membiarkannya membuat keputusan tentang individu secara sendiri.</w:t>
            </w:r>
          </w:p>
        </w:tc>
      </w:tr>
      <w:tr>
        <w:tc>
          <w:tcPr>
            <w:tcW w:type="dxa" w:w="4819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shd w:fill="F7F9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Nyatakan bahawa kandungan dijana oleh AI apabila dikehendaki.</w:t>
            </w:r>
          </w:p>
        </w:tc>
        <w:tc>
          <w:tcPr>
            <w:tcW w:type="dxa" w:w="4819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shd w:fill="F7F9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Membentangkan hasil AI kepada pelanggan seolah-olah ditulis sepenuhnya oleh manusia apabila pendedahan dikehendaki.</w:t>
            </w:r>
          </w:p>
        </w:tc>
      </w:tr>
      <w:tr>
        <w:tc>
          <w:tcPr>
            <w:tcW w:type="dxa" w:w="4819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Mohon penyambung (connector) atau ciri baharu melalui </w:t>
            </w:r>
            <w:r>
              <w:rPr>
                <w:sz w:val="18"/>
                <w:szCs w:val="18"/>
                <w:highlight w:val="yellow"/>
              </w:rPr>
              <w:t xml:space="preserve">[saluran permohonan]</w:t>
            </w:r>
            <w:r>
              <w:rPr>
                <w:sz w:val="18"/>
                <w:szCs w:val="18"/>
              </w:rPr>
              <w:t xml:space="preserve">.</w:t>
            </w:r>
          </w:p>
        </w:tc>
        <w:tc>
          <w:tcPr>
            <w:tcW w:type="dxa" w:w="4819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Memasang sendiri sambungan pelayar (extension), pelayan MCP atau plugin.</w:t>
            </w:r>
          </w:p>
        </w:tc>
      </w:tr>
      <w:tr>
        <w:tc>
          <w:tcPr>
            <w:tcW w:type="dxa" w:w="4819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shd w:fill="F7F9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Maklumkan penggunaan pencatat nota AI dan dapatkan persetujuan semua peserta sebelum rakaman bermula.</w:t>
            </w:r>
          </w:p>
        </w:tc>
        <w:tc>
          <w:tcPr>
            <w:tcW w:type="dxa" w:w="4819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shd w:fill="F7F9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Merakam mesyuarat HR, perundangan atau lembaga pengarah dengan AI, atau membenarkan bot pencatat nota luar menyertai mesyuarat anda.</w:t>
            </w:r>
          </w:p>
        </w:tc>
      </w:tr>
    </w:tbl>
    <w:p>
      <w:pPr>
        <w:spacing w:after="120"/>
      </w:pPr>
    </w:p>
    <w:p>
      <w:pPr>
        <w:pStyle w:val="Heading1"/>
      </w:pPr>
      <w:r>
        <w:t xml:space="preserve">2. Rujukan pantas data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2200"/>
        <w:gridCol w:w="2400"/>
        <w:gridCol w:w="2438"/>
      </w:tblGrid>
      <w:tr>
        <w:trPr>
          <w:tblHeader/>
        </w:trPr>
        <w:tc>
          <w:tcPr>
            <w:tcW w:type="dxa" w:w="2600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shd w:fill="1F3A5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Data</w:t>
            </w:r>
          </w:p>
        </w:tc>
        <w:tc>
          <w:tcPr>
            <w:tcW w:type="dxa" w:w="2200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shd w:fill="1F3A5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AI peribadi / percuma</w:t>
            </w:r>
          </w:p>
        </w:tc>
        <w:tc>
          <w:tcPr>
            <w:tcW w:type="dxa" w:w="2400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shd w:fill="1F3A5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AI diluluskan </w:t>
            </w:r>
            <w:r>
              <w:rPr>
                <w:b/>
                <w:bCs/>
                <w:color w:val="FFFFFF"/>
                <w:sz w:val="18"/>
                <w:szCs w:val="18"/>
                <w:highlight w:val="yellow"/>
              </w:rPr>
              <w:t xml:space="preserve">[T1]</w:t>
            </w:r>
          </w:p>
        </w:tc>
        <w:tc>
          <w:tcPr>
            <w:tcW w:type="dxa" w:w="2438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shd w:fill="1F3A5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AI diperkukuh </w:t>
            </w:r>
            <w:r>
              <w:rPr>
                <w:b/>
                <w:bCs/>
                <w:color w:val="FFFFFF"/>
                <w:sz w:val="18"/>
                <w:szCs w:val="18"/>
                <w:highlight w:val="yellow"/>
              </w:rPr>
              <w:t xml:space="preserve">[T2]</w:t>
            </w:r>
          </w:p>
        </w:tc>
      </w:tr>
      <w:tr>
        <w:tc>
          <w:tcPr>
            <w:tcW w:type="dxa" w:w="2600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Awam (Public)</w:t>
            </w:r>
          </w:p>
        </w:tc>
        <w:tc>
          <w:tcPr>
            <w:tcW w:type="dxa" w:w="2200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Hijau — Boleh</w:t>
            </w:r>
          </w:p>
        </w:tc>
        <w:tc>
          <w:tcPr>
            <w:tcW w:type="dxa" w:w="2400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Hijau — Boleh</w:t>
            </w:r>
          </w:p>
        </w:tc>
        <w:tc>
          <w:tcPr>
            <w:tcW w:type="dxa" w:w="2438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Hijau — Boleh</w:t>
            </w:r>
          </w:p>
        </w:tc>
      </w:tr>
      <w:tr>
        <w:tc>
          <w:tcPr>
            <w:tcW w:type="dxa" w:w="2600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shd w:fill="F7F9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Dalaman (Internal)</w:t>
            </w:r>
          </w:p>
        </w:tc>
        <w:tc>
          <w:tcPr>
            <w:tcW w:type="dxa" w:w="2200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shd w:fill="F7F9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Merah — Tidak</w:t>
            </w:r>
          </w:p>
        </w:tc>
        <w:tc>
          <w:tcPr>
            <w:tcW w:type="dxa" w:w="2400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shd w:fill="F7F9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Hijau — Boleh</w:t>
            </w:r>
          </w:p>
        </w:tc>
        <w:tc>
          <w:tcPr>
            <w:tcW w:type="dxa" w:w="2438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shd w:fill="F7F9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Hijau — Boleh</w:t>
            </w:r>
          </w:p>
        </w:tc>
      </w:tr>
      <w:tr>
        <w:tc>
          <w:tcPr>
            <w:tcW w:type="dxa" w:w="2600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Sulit (Confidential)</w:t>
            </w:r>
          </w:p>
        </w:tc>
        <w:tc>
          <w:tcPr>
            <w:tcW w:type="dxa" w:w="2200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Merah — Tidak</w:t>
            </w:r>
          </w:p>
        </w:tc>
        <w:tc>
          <w:tcPr>
            <w:tcW w:type="dxa" w:w="2400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Hijau — Boleh untuk keperluan kerja</w:t>
            </w:r>
          </w:p>
        </w:tc>
        <w:tc>
          <w:tcPr>
            <w:tcW w:type="dxa" w:w="2438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Hijau — Boleh</w:t>
            </w:r>
          </w:p>
        </w:tc>
      </w:tr>
      <w:tr>
        <w:tc>
          <w:tcPr>
            <w:tcW w:type="dxa" w:w="2600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shd w:fill="F7F9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Terhad (Restricted) (data peribadi berskala besar, NRIC, kesihatan, rahsia pelanggan)</w:t>
            </w:r>
          </w:p>
        </w:tc>
        <w:tc>
          <w:tcPr>
            <w:tcW w:type="dxa" w:w="2200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shd w:fill="F7F9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Merah — Tidak</w:t>
            </w:r>
          </w:p>
        </w:tc>
        <w:tc>
          <w:tcPr>
            <w:tcW w:type="dxa" w:w="2400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shd w:fill="F7F9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Merah — Tidak</w:t>
            </w:r>
          </w:p>
        </w:tc>
        <w:tc>
          <w:tcPr>
            <w:tcW w:type="dxa" w:w="2438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shd w:fill="F7F9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Kuning — kes penggunaan yang diluluskan sahaja</w:t>
            </w:r>
          </w:p>
        </w:tc>
      </w:tr>
      <w:tr>
        <w:tc>
          <w:tcPr>
            <w:tcW w:type="dxa" w:w="2600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Rahsia (Secrets) (kata laluan, kunci, token)</w:t>
            </w:r>
          </w:p>
        </w:tc>
        <w:tc>
          <w:tcPr>
            <w:tcW w:type="dxa" w:w="2200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Merah — Tidak</w:t>
            </w:r>
          </w:p>
        </w:tc>
        <w:tc>
          <w:tcPr>
            <w:tcW w:type="dxa" w:w="2400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Merah — Tidak</w:t>
            </w:r>
          </w:p>
        </w:tc>
        <w:tc>
          <w:tcPr>
            <w:tcW w:type="dxa" w:w="2438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Merah — Tidak</w:t>
            </w:r>
          </w:p>
        </w:tc>
      </w:tr>
    </w:tbl>
    <w:p>
      <w:pPr>
        <w:spacing w:after="120"/>
      </w:pPr>
    </w:p>
    <w:p>
      <w:pPr>
        <w:spacing w:after="120"/>
      </w:pPr>
      <w:r>
        <w:t xml:space="preserve">Tidak pasti? Anggap data itu berlabel lebih tinggi dan rujuk </w:t>
      </w:r>
      <w:r>
        <w:rPr>
          <w:highlight w:val="yellow"/>
        </w:rPr>
        <w:t xml:space="preserve">[Ketua Tadbir Urus AI / pemilik data]</w:t>
      </w:r>
      <w:r>
        <w:t xml:space="preserve">.</w:t>
      </w:r>
    </w:p>
    <w:p>
      <w:pPr>
        <w:pStyle w:val="Heading1"/>
      </w:pPr>
      <w:r>
        <w:t xml:space="preserve">3. Penyambung dan ejen pelayar — peraturan ringkas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Gunakan hanya penyambung yang telah diluluskan oleh </w:t>
      </w:r>
      <w:r>
        <w:rPr>
          <w:highlight w:val="yellow"/>
        </w:rPr>
        <w:t xml:space="preserve">[CLIENT NAME]</w:t>
      </w:r>
      <w:r>
        <w:t xml:space="preserve">. Dapatkan kelulusan sebelum menyambungkan apa-apa yang baharu.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Baca mesej pengesahan sebelum meluluskan sebarang tindakan yang ingin diambil oleh AI (hantar, padam, serah, beli). Jika ragu-ragu, tolak.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Utamakan penyambung berbanding membiarkan AI mengawal pelayar web anda.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Ejen pelayar/komputer: kekal memantau sepanjang ia berfungsi; jangan sesekali benarkan ia memasukkan kata laluan, membuat pembayaran, menerima terma atau mengakses laman perbankan, HR atau pentadbir.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Jika AI mula melakukan sesuatu yang tidak anda minta — hentikannya dan laporkan. Ia mungkin sedang mengikut arahan tersembunyi dalam laman web atau dokumen.</w:t>
      </w:r>
    </w:p>
    <w:p>
      <w:pPr>
        <w:pStyle w:val="Heading1"/>
      </w:pPr>
      <w:r>
        <w:t xml:space="preserve">4. Pencatat nota AI — petua ringkas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Gunakan hanya pencatat nota yang diluluskan oleh </w:t>
      </w:r>
      <w:r>
        <w:rPr>
          <w:highlight w:val="yellow"/>
        </w:rPr>
        <w:t xml:space="preserve">[CLIENT NAME]</w:t>
      </w:r>
      <w:r>
        <w:t xml:space="preserve">: </w:t>
      </w:r>
      <w:r>
        <w:rPr>
          <w:highlight w:val="yellow"/>
        </w:rPr>
        <w:t xml:space="preserve">[alat pencatat nota yang diluluskan]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Maklumkan pada permulaan mesyuarat: "Mesyuarat ini akan ditranskripsi oleh AI — ada sebarang bantahan?" Maklumkan tetamu luar dalam jemputan mesyuarat. Jika ada yang membantah, matikannya.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Jangan gunakan pencatat nota AI untuk mesyuarat HR, perundangan, lembaga pengarah atau mesyuarat Terhad yang lain kecuali telah diluluskan terlebih dahulu.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Baca ringkasan AI dan betulkan kesilapan sebelum anda menghantarnya — anda bertanggungjawab ke atas kandungannya.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Keluarkan mana-mana bot pencatat nota yang tidak dikenali daripada mesyuarat anda.</w:t>
      </w:r>
    </w:p>
    <w:p>
      <w:pPr>
        <w:pStyle w:val="Heading1"/>
      </w:pPr>
      <w:r>
        <w:t xml:space="preserve">5. Cara melaporkan masalah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Terkongsi sesuatu yang tidak sepatutnya, atau AI mengambil tindakan yang tidak dijangka? Laporkan </w:t>
      </w:r>
      <w:r>
        <w:rPr>
          <w:b/>
          <w:bCs/>
        </w:rPr>
        <w:t xml:space="preserve">dengan segera</w:t>
      </w:r>
      <w:r>
        <w:t xml:space="preserve"> kepada </w:t>
      </w:r>
      <w:r>
        <w:rPr>
          <w:highlight w:val="yellow"/>
        </w:rPr>
        <w:t xml:space="preserve">[hubungan Meja Bantuan IT / e-mel / telefon]</w:t>
      </w:r>
      <w:r>
        <w:t xml:space="preserve">. Laporan yang cepat mengurangkan kemudaratan — anda tidak akan dikenakan tindakan atas kesilapan jujur yang dilaporkan dengan segera.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Tertampal kata laluan atau kunci? Laporkan dan tukarkannya dengan serta-merta.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Pertanyaan tentang penggunaan AI: </w:t>
      </w:r>
      <w:r>
        <w:rPr>
          <w:highlight w:val="yellow"/>
        </w:rPr>
        <w:t xml:space="preserve">[hubungan / saluran Ketua Tadbir Urus AI]</w:t>
      </w:r>
      <w:r>
        <w:t xml:space="preserve">.</w:t>
      </w:r>
    </w:p>
    <w:p>
      <w:pPr>
        <w:pStyle w:val="Heading1"/>
      </w:pPr>
      <w:r>
        <w:t xml:space="preserve">6. Dokumen berkaitan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800"/>
        <w:gridCol w:w="5838"/>
      </w:tblGrid>
      <w:tr>
        <w:trPr>
          <w:tblHeader/>
        </w:trPr>
        <w:tc>
          <w:tcPr>
            <w:tcW w:type="dxa" w:w="3800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shd w:fill="1F3A5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Dokumen</w:t>
            </w:r>
          </w:p>
        </w:tc>
        <w:tc>
          <w:tcPr>
            <w:tcW w:type="dxa" w:w="5838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shd w:fill="1F3A5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Hubungan</w:t>
            </w:r>
          </w:p>
        </w:tc>
      </w:tr>
      <w:tr>
        <w:tc>
          <w:tcPr>
            <w:tcW w:type="dxa" w:w="3800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AGK-GDL-A01 Safe AI Use Guide for Staff</w:t>
            </w:r>
          </w:p>
        </w:tc>
        <w:tc>
          <w:tcPr>
            <w:tcW w:type="dxa" w:w="5838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Versi Bahasa Inggeris (diguna pakai jika terdapat percanggahan)</w:t>
            </w:r>
          </w:p>
        </w:tc>
      </w:tr>
      <w:tr>
        <w:tc>
          <w:tcPr>
            <w:tcW w:type="dxa" w:w="3800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shd w:fill="F7F9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AGK-POL-02 AI Acceptable Use Policy</w:t>
            </w:r>
          </w:p>
        </w:tc>
        <w:tc>
          <w:tcPr>
            <w:tcW w:type="dxa" w:w="5838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shd w:fill="F7F9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Peraturan mengikat yang diringkaskan dalam panduan ini</w:t>
            </w:r>
          </w:p>
        </w:tc>
      </w:tr>
      <w:tr>
        <w:tc>
          <w:tcPr>
            <w:tcW w:type="dxa" w:w="3800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AGK-STD-A02 AI Data Handling Standard</w:t>
            </w:r>
          </w:p>
        </w:tc>
        <w:tc>
          <w:tcPr>
            <w:tcW w:type="dxa" w:w="5838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Matriks data penuh; peraturan pembantu mesyuarat AI (C21–C26)</w:t>
            </w:r>
          </w:p>
        </w:tc>
      </w:tr>
      <w:tr>
        <w:tc>
          <w:tcPr>
            <w:tcW w:type="dxa" w:w="3800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shd w:fill="F7F9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AGK-TPL-07-BM Pengakuan Dasar Penggunaan AI</w:t>
            </w:r>
          </w:p>
        </w:tc>
        <w:tc>
          <w:tcPr>
            <w:tcW w:type="dxa" w:w="5838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shd w:fill="F7F9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Pengakuan kakitangan</w:t>
            </w:r>
          </w:p>
        </w:tc>
      </w:tr>
    </w:tbl>
    <w:p>
      <w:pPr>
        <w:spacing w:after="120"/>
      </w:pPr>
    </w:p>
    <w:p>
      <w:pPr>
        <w:pStyle w:val="Heading1"/>
      </w:pPr>
      <w:r>
        <w:t xml:space="preserve">7. Framework alignment</w:t>
      </w:r>
    </w:p>
    <w:p>
      <w:pPr>
        <w:spacing w:after="120"/>
      </w:pPr>
      <w:r>
        <w:t xml:space="preserve">This document supports the following external frameworks and regulations. References are indicative; confirm against the current text before relying on them for compliance claims.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6238"/>
      </w:tblGrid>
      <w:tr>
        <w:trPr>
          <w:tblHeader/>
        </w:trPr>
        <w:tc>
          <w:tcPr>
            <w:tcW w:type="dxa" w:w="3400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shd w:fill="1F3A5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Framework / regulation</w:t>
            </w:r>
          </w:p>
        </w:tc>
        <w:tc>
          <w:tcPr>
            <w:tcW w:type="dxa" w:w="6238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shd w:fill="1F3A5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Reference</w:t>
            </w:r>
          </w:p>
        </w:tc>
      </w:tr>
      <w:tr>
        <w:tc>
          <w:tcPr>
            <w:tcW w:type="dxa" w:w="3400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ISO/IEC 42001:2023</w:t>
            </w:r>
          </w:p>
        </w:tc>
        <w:tc>
          <w:tcPr>
            <w:tcW w:type="dxa" w:w="6238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A.9 penggunaan sistem AI; klausa 7.3 kesedaran</w:t>
            </w:r>
          </w:p>
        </w:tc>
      </w:tr>
      <w:tr>
        <w:tc>
          <w:tcPr>
            <w:tcW w:type="dxa" w:w="3400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shd w:fill="F7F9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EU AI Act</w:t>
            </w:r>
          </w:p>
        </w:tc>
        <w:tc>
          <w:tcPr>
            <w:tcW w:type="dxa" w:w="6238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shd w:fill="F7F9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Perkara 4 literasi AI</w:t>
            </w:r>
          </w:p>
        </w:tc>
      </w:tr>
      <w:tr>
        <w:tc>
          <w:tcPr>
            <w:tcW w:type="dxa" w:w="3400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Malaysia AIGE (2024)</w:t>
            </w:r>
          </w:p>
        </w:tc>
        <w:tc>
          <w:tcPr>
            <w:tcW w:type="dxa" w:w="6238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Prinsip keselamatan, privasi dan akauntabiliti</w:t>
            </w:r>
          </w:p>
        </w:tc>
      </w:tr>
    </w:tbl>
    <w:p>
      <w:pPr>
        <w:spacing w:after="120"/>
      </w:pPr>
    </w:p>
    <w:p>
      <w:pPr>
        <w:pStyle w:val="Heading1"/>
      </w:pPr>
      <w:r>
        <w:t xml:space="preserve">8. Template version history</w:t>
      </w:r>
    </w:p>
    <w:p>
      <w:pPr>
        <w:spacing w:after="120"/>
      </w:pPr>
      <w:r>
        <w:t xml:space="preserve">Changes to this template made by Anchor Sprint. Keep this table when you adopt the document, so you can compare future template updates with the version you adopted.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500"/>
        <w:gridCol w:w="6638"/>
      </w:tblGrid>
      <w:tr>
        <w:trPr>
          <w:tblHeader/>
        </w:trPr>
        <w:tc>
          <w:tcPr>
            <w:tcW w:type="dxa" w:w="1500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shd w:fill="1F3A5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Template version</w:t>
            </w:r>
          </w:p>
        </w:tc>
        <w:tc>
          <w:tcPr>
            <w:tcW w:type="dxa" w:w="1500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shd w:fill="1F3A5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Date</w:t>
            </w:r>
          </w:p>
        </w:tc>
        <w:tc>
          <w:tcPr>
            <w:tcW w:type="dxa" w:w="6638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shd w:fill="1F3A5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Changes</w:t>
            </w:r>
          </w:p>
        </w:tc>
      </w:tr>
      <w:tr>
        <w:tc>
          <w:tcPr>
            <w:tcW w:type="dxa" w:w="1500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1.0</w:t>
            </w:r>
          </w:p>
        </w:tc>
        <w:tc>
          <w:tcPr>
            <w:tcW w:type="dxa" w:w="1500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2026-10-31</w:t>
            </w:r>
          </w:p>
        </w:tc>
        <w:tc>
          <w:tcPr>
            <w:tcW w:type="dxa" w:w="6638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Initial release</w:t>
            </w:r>
          </w:p>
        </w:tc>
      </w:tr>
    </w:tbl>
    <w:p>
      <w:pPr>
        <w:spacing w:after="120"/>
      </w:pPr>
    </w:p>
    <w:p>
      <w:pPr>
        <w:pStyle w:val="Heading1"/>
      </w:pPr>
      <w:r>
        <w:t xml:space="preserve">9. Approval and client revision history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2800"/>
        <w:gridCol w:w="2300"/>
        <w:gridCol w:w="1938"/>
      </w:tblGrid>
      <w:tr>
        <w:trPr>
          <w:tblHeader/>
        </w:trPr>
        <w:tc>
          <w:tcPr>
            <w:tcW w:type="dxa" w:w="2600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shd w:fill="1F3A5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Role</w:t>
            </w:r>
          </w:p>
        </w:tc>
        <w:tc>
          <w:tcPr>
            <w:tcW w:type="dxa" w:w="2800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shd w:fill="1F3A5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Name</w:t>
            </w:r>
          </w:p>
        </w:tc>
        <w:tc>
          <w:tcPr>
            <w:tcW w:type="dxa" w:w="2300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shd w:fill="1F3A5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Signature</w:t>
            </w:r>
          </w:p>
        </w:tc>
        <w:tc>
          <w:tcPr>
            <w:tcW w:type="dxa" w:w="1938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shd w:fill="1F3A5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Date</w:t>
            </w:r>
          </w:p>
        </w:tc>
      </w:tr>
      <w:tr>
        <w:tc>
          <w:tcPr>
            <w:tcW w:type="dxa" w:w="2600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Document owner</w:t>
            </w:r>
          </w:p>
        </w:tc>
        <w:tc>
          <w:tcPr>
            <w:tcW w:type="dxa" w:w="2800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  <w:highlight w:val="yellow"/>
              </w:rPr>
              <w:t xml:space="preserve">[Name]</w:t>
            </w:r>
          </w:p>
        </w:tc>
        <w:tc>
          <w:tcPr>
            <w:tcW w:type="dxa" w:w="2300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938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  <w:highlight w:val="yellow"/>
              </w:rPr>
              <w:t xml:space="preserve">[Date]</w:t>
            </w:r>
          </w:p>
        </w:tc>
      </w:tr>
      <w:tr>
        <w:tc>
          <w:tcPr>
            <w:tcW w:type="dxa" w:w="2600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shd w:fill="F7F9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Approver</w:t>
            </w:r>
          </w:p>
        </w:tc>
        <w:tc>
          <w:tcPr>
            <w:tcW w:type="dxa" w:w="2800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shd w:fill="F7F9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  <w:highlight w:val="yellow"/>
              </w:rPr>
              <w:t xml:space="preserve">[Name]</w:t>
            </w:r>
          </w:p>
        </w:tc>
        <w:tc>
          <w:tcPr>
            <w:tcW w:type="dxa" w:w="2300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shd w:fill="F7F9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938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shd w:fill="F7F9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  <w:highlight w:val="yellow"/>
              </w:rPr>
              <w:t xml:space="preserve">[Date]</w:t>
            </w:r>
          </w:p>
        </w:tc>
      </w:tr>
    </w:tbl>
    <w:p>
      <w:pPr>
        <w:spacing w:after="12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00"/>
        <w:gridCol w:w="1600"/>
        <w:gridCol w:w="2200"/>
        <w:gridCol w:w="4738"/>
      </w:tblGrid>
      <w:tr>
        <w:trPr>
          <w:tblHeader/>
        </w:trPr>
        <w:tc>
          <w:tcPr>
            <w:tcW w:type="dxa" w:w="1100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shd w:fill="1F3A5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Version</w:t>
            </w:r>
          </w:p>
        </w:tc>
        <w:tc>
          <w:tcPr>
            <w:tcW w:type="dxa" w:w="1600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shd w:fill="1F3A5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Date</w:t>
            </w:r>
          </w:p>
        </w:tc>
        <w:tc>
          <w:tcPr>
            <w:tcW w:type="dxa" w:w="2200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shd w:fill="1F3A5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Author</w:t>
            </w:r>
          </w:p>
        </w:tc>
        <w:tc>
          <w:tcPr>
            <w:tcW w:type="dxa" w:w="4738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shd w:fill="1F3A5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Summary of changes</w:t>
            </w:r>
          </w:p>
        </w:tc>
      </w:tr>
      <w:tr>
        <w:tc>
          <w:tcPr>
            <w:tcW w:type="dxa" w:w="1100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0.1</w:t>
            </w:r>
          </w:p>
        </w:tc>
        <w:tc>
          <w:tcPr>
            <w:tcW w:type="dxa" w:w="1600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  <w:highlight w:val="yellow"/>
              </w:rPr>
              <w:t xml:space="preserve">[Date]</w:t>
            </w:r>
          </w:p>
        </w:tc>
        <w:tc>
          <w:tcPr>
            <w:tcW w:type="dxa" w:w="2200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  <w:highlight w:val="yellow"/>
              </w:rPr>
              <w:t xml:space="preserve">[Name]</w:t>
            </w:r>
          </w:p>
        </w:tc>
        <w:tc>
          <w:tcPr>
            <w:tcW w:type="dxa" w:w="4738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Adopted from AGK template AGK-GDL-A01-BM v1.0</w:t>
            </w:r>
          </w:p>
        </w:tc>
      </w:tr>
      <w:tr>
        <w:tc>
          <w:tcPr>
            <w:tcW w:type="dxa" w:w="1100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shd w:fill="F7F9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1.0</w:t>
            </w:r>
          </w:p>
        </w:tc>
        <w:tc>
          <w:tcPr>
            <w:tcW w:type="dxa" w:w="1600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shd w:fill="F7F9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  <w:highlight w:val="yellow"/>
              </w:rPr>
              <w:t xml:space="preserve">[Date]</w:t>
            </w:r>
          </w:p>
        </w:tc>
        <w:tc>
          <w:tcPr>
            <w:tcW w:type="dxa" w:w="2200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shd w:fill="F7F9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  <w:highlight w:val="yellow"/>
              </w:rPr>
              <w:t xml:space="preserve">[Name]</w:t>
            </w:r>
          </w:p>
        </w:tc>
        <w:tc>
          <w:tcPr>
            <w:tcW w:type="dxa" w:w="4738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shd w:fill="F7F9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Approved for issue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638"/>
      </w:tabs>
    </w:pPr>
    <w:r>
      <w:rPr>
        <w:color w:val="595959"/>
        <w:sz w:val="14"/>
        <w:szCs w:val="14"/>
      </w:rPr>
      <w:t xml:space="preserve">Classification: Internal  ·  Based on AGK template AGK-GDL-A01-BM v1.0 (kit v1.0)</w:t>
    </w:r>
    <w:r>
      <w:rPr>
        <w:color w:val="595959"/>
        <w:sz w:val="14"/>
        <w:szCs w:val="14"/>
      </w:rPr>
      <w:t xml:space="preserve">	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595959"/>
        <w:sz w:val="16"/>
        <w:szCs w:val="16"/>
        <w:highlight w:val="yellow"/>
      </w:rPr>
      <w:t xml:space="preserve">[CLIENT NAME]</w:t>
    </w:r>
    <w:r>
      <w:rPr>
        <w:color w:val="595959"/>
        <w:sz w:val="16"/>
        <w:szCs w:val="16"/>
      </w:rPr>
      <w:t xml:space="preserve">  |  AGK-GDL-A01-BM  Panduan Penggunaan AI Secara Selamat untuk Kakitangan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updateField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140" w:before="300"/>
      <w:outlineLvl w:val="0"/>
    </w:pPr>
    <w:rPr>
      <w:rFonts w:ascii="Calibri" w:cs="Calibri" w:eastAsia="Calibri" w:hAnsi="Calibri"/>
      <w:b/>
      <w:bCs/>
      <w:color w:val="1F3A5F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200"/>
      <w:outlineLvl w:val="1"/>
    </w:pPr>
    <w:rPr>
      <w:rFonts w:ascii="Calibri" w:cs="Calibri" w:eastAsia="Calibri" w:hAnsi="Calibri"/>
      <w:b/>
      <w:bCs/>
      <w:color w:val="2E7D7A"/>
      <w:sz w:val="24"/>
      <w:szCs w:val="24"/>
    </w:rPr>
  </w:style>
  <w:style w:type="paragraph" w:styleId="Heading3">
    <w:name w:val="Heading 3"/>
    <w:basedOn w:val="Normal"/>
    <w:next w:val="Normal"/>
    <w:qFormat/>
    <w:pPr>
      <w:keepNext/>
      <w:spacing w:after="80" w:before="160"/>
      <w:outlineLvl w:val="2"/>
    </w:pPr>
    <w:rPr>
      <w:rFonts w:ascii="Calibri" w:cs="Calibri" w:eastAsia="Calibri" w:hAnsi="Calibri"/>
      <w:b/>
      <w:bCs/>
      <w:color w:val="595959"/>
      <w:sz w:val="22"/>
      <w:szCs w:val="2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AGK-GDL-A01-BM Panduan Penggunaan AI Secara Selamat untuk Kakitangan</dc:title>
  <dc:subject>AGK-GDL-A01-BM v1.0</dc:subject>
  <dc:creator>Anchor Sprint Sdn Bhd</dc:creator>
  <cp:keywords>AGK; AGK-GDL-A01-BM; template v1.0; kit v1.0</cp:keywords>
  <dc:description>Anchor Sprint AI Governance Kit (AGK) v1.0 · AGK-GDL-A01-BM template v1.0</dc:description>
  <cp:lastModifiedBy>Un-named</cp:lastModifiedBy>
  <cp:revision>1</cp:revision>
  <dcterms:created xsi:type="dcterms:W3CDTF">2026-10-31T15:58:10.295Z</dcterms:created>
  <dcterms:modified xsi:type="dcterms:W3CDTF">2026-10-31T15:58:10.295Z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